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772" w:rsidRDefault="00CE36B4" w:rsidP="00713772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  <w:r w:rsidRPr="00CE36B4">
        <w:rPr>
          <w:rFonts w:ascii="Arial" w:hAnsi="Arial" w:cs="Arial"/>
          <w:sz w:val="24"/>
          <w:szCs w:val="24"/>
          <w:lang w:eastAsia="ru-RU" w:bidi="en-US"/>
        </w:rPr>
        <w:t>Приложение №</w:t>
      </w:r>
      <w:r>
        <w:rPr>
          <w:rFonts w:ascii="Arial" w:hAnsi="Arial" w:cs="Arial"/>
          <w:sz w:val="24"/>
          <w:szCs w:val="24"/>
          <w:lang w:eastAsia="ru-RU" w:bidi="en-US"/>
        </w:rPr>
        <w:t xml:space="preserve"> </w:t>
      </w:r>
      <w:r w:rsidR="00713772">
        <w:rPr>
          <w:rFonts w:ascii="Arial" w:hAnsi="Arial" w:cs="Arial"/>
          <w:sz w:val="24"/>
          <w:szCs w:val="24"/>
          <w:lang w:eastAsia="ru-RU" w:bidi="en-US"/>
        </w:rPr>
        <w:t>4</w:t>
      </w:r>
      <w:r w:rsidR="00BD33A6">
        <w:rPr>
          <w:rFonts w:ascii="Arial" w:hAnsi="Arial" w:cs="Arial"/>
          <w:sz w:val="24"/>
          <w:szCs w:val="24"/>
          <w:lang w:eastAsia="ru-RU" w:bidi="en-US"/>
        </w:rPr>
        <w:t xml:space="preserve"> </w:t>
      </w:r>
    </w:p>
    <w:p w:rsidR="00CE36B4" w:rsidRDefault="00CE36B4" w:rsidP="00713772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  <w:r>
        <w:rPr>
          <w:rFonts w:ascii="Arial" w:hAnsi="Arial" w:cs="Arial"/>
          <w:sz w:val="24"/>
          <w:szCs w:val="24"/>
          <w:lang w:eastAsia="ru-RU" w:bidi="en-US"/>
        </w:rPr>
        <w:t>к решению Думы</w:t>
      </w:r>
      <w:r w:rsidR="00713772">
        <w:rPr>
          <w:rFonts w:ascii="Arial" w:hAnsi="Arial" w:cs="Arial"/>
          <w:sz w:val="24"/>
          <w:szCs w:val="24"/>
          <w:lang w:eastAsia="ru-RU" w:bidi="en-US"/>
        </w:rPr>
        <w:t xml:space="preserve"> УКМО</w:t>
      </w:r>
    </w:p>
    <w:p w:rsidR="00CE36B4" w:rsidRDefault="00CE36B4" w:rsidP="009A280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  <w:r>
        <w:rPr>
          <w:rFonts w:ascii="Arial" w:hAnsi="Arial" w:cs="Arial"/>
          <w:sz w:val="24"/>
          <w:szCs w:val="24"/>
          <w:lang w:eastAsia="ru-RU" w:bidi="en-US"/>
        </w:rPr>
        <w:t>№__</w:t>
      </w:r>
      <w:r w:rsidR="00713772">
        <w:rPr>
          <w:rFonts w:ascii="Arial" w:hAnsi="Arial" w:cs="Arial"/>
          <w:sz w:val="24"/>
          <w:szCs w:val="24"/>
          <w:lang w:eastAsia="ru-RU" w:bidi="en-US"/>
        </w:rPr>
        <w:t>_</w:t>
      </w:r>
      <w:r>
        <w:rPr>
          <w:rFonts w:ascii="Arial" w:hAnsi="Arial" w:cs="Arial"/>
          <w:sz w:val="24"/>
          <w:szCs w:val="24"/>
          <w:lang w:eastAsia="ru-RU" w:bidi="en-US"/>
        </w:rPr>
        <w:t>_____</w:t>
      </w:r>
      <w:r w:rsidR="00713772">
        <w:rPr>
          <w:rFonts w:ascii="Arial" w:hAnsi="Arial" w:cs="Arial"/>
          <w:sz w:val="24"/>
          <w:szCs w:val="24"/>
          <w:lang w:eastAsia="ru-RU" w:bidi="en-US"/>
        </w:rPr>
        <w:t xml:space="preserve"> </w:t>
      </w:r>
      <w:proofErr w:type="spellStart"/>
      <w:r w:rsidR="00713772">
        <w:rPr>
          <w:rFonts w:ascii="Arial" w:hAnsi="Arial" w:cs="Arial"/>
          <w:sz w:val="24"/>
          <w:szCs w:val="24"/>
          <w:lang w:eastAsia="ru-RU" w:bidi="en-US"/>
        </w:rPr>
        <w:t>от_______________________г</w:t>
      </w:r>
      <w:proofErr w:type="spellEnd"/>
      <w:r w:rsidR="00713772">
        <w:rPr>
          <w:rFonts w:ascii="Arial" w:hAnsi="Arial" w:cs="Arial"/>
          <w:sz w:val="24"/>
          <w:szCs w:val="24"/>
          <w:lang w:eastAsia="ru-RU" w:bidi="en-US"/>
        </w:rPr>
        <w:t>.</w:t>
      </w:r>
    </w:p>
    <w:p w:rsidR="00713772" w:rsidRDefault="00713772" w:rsidP="009A280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</w:p>
    <w:p w:rsidR="00CE36B4" w:rsidRPr="00CE36B4" w:rsidRDefault="00CE36B4" w:rsidP="00CE36B4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</w:p>
    <w:p w:rsidR="006411DE" w:rsidRDefault="00BF49B7" w:rsidP="006411DE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jc w:val="both"/>
        <w:rPr>
          <w:rFonts w:ascii="Arial" w:hAnsi="Arial" w:cs="Arial"/>
          <w:b/>
          <w:sz w:val="24"/>
          <w:szCs w:val="24"/>
          <w:lang w:eastAsia="ru-RU" w:bidi="en-US"/>
        </w:rPr>
      </w:pPr>
      <w:r w:rsidRPr="006411DE">
        <w:rPr>
          <w:rFonts w:ascii="Arial" w:hAnsi="Arial" w:cs="Arial"/>
          <w:b/>
          <w:sz w:val="24"/>
          <w:szCs w:val="24"/>
          <w:lang w:eastAsia="ru-RU" w:bidi="en-US"/>
        </w:rPr>
        <w:t xml:space="preserve">ПОКАЗАТЕЛИ ДОСТИЖЕНИЯ ЦЕЛЕЙ СОЦИАЛЬНО - ЭКОНОМИЧЕСКОГО </w:t>
      </w:r>
    </w:p>
    <w:p w:rsidR="00BF49B7" w:rsidRPr="006411DE" w:rsidRDefault="00BF49B7" w:rsidP="006411DE">
      <w:pPr>
        <w:tabs>
          <w:tab w:val="left" w:pos="993"/>
        </w:tabs>
        <w:spacing w:line="240" w:lineRule="auto"/>
        <w:jc w:val="both"/>
        <w:rPr>
          <w:rFonts w:ascii="Arial" w:hAnsi="Arial" w:cs="Arial"/>
          <w:b/>
          <w:sz w:val="24"/>
          <w:szCs w:val="24"/>
          <w:lang w:eastAsia="ru-RU" w:bidi="en-US"/>
        </w:rPr>
      </w:pPr>
      <w:r w:rsidRPr="006411DE">
        <w:rPr>
          <w:rFonts w:ascii="Arial" w:hAnsi="Arial" w:cs="Arial"/>
          <w:b/>
          <w:sz w:val="24"/>
          <w:szCs w:val="24"/>
          <w:lang w:eastAsia="ru-RU" w:bidi="en-US"/>
        </w:rPr>
        <w:t>РАЗВИТИЯ УКМО, СРОКИ И ЭТАПЫ РЕАЛИЗАЦИИ СТРАТЕГИИ</w:t>
      </w:r>
    </w:p>
    <w:p w:rsidR="00BF49B7" w:rsidRPr="000E1A26" w:rsidRDefault="006A235F" w:rsidP="00281A24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Срок реализации Стратегии – 2021</w:t>
      </w:r>
      <w:r w:rsidR="00A8442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-2036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годы.</w:t>
      </w:r>
    </w:p>
    <w:p w:rsidR="00BF49B7" w:rsidRPr="000E1A26" w:rsidRDefault="00E45685" w:rsidP="00281A24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Стратегия реализуется по </w:t>
      </w:r>
      <w:r w:rsidR="006A235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этапа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</w:t>
      </w:r>
      <w:r w:rsidR="006A235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: 1 этап – 2021-2025 гг.; 2 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этап – 2026-2030 гг.</w:t>
      </w:r>
      <w:r w:rsidR="006A235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3</w:t>
      </w:r>
      <w:r w:rsidR="00BF49B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этап </w:t>
      </w:r>
      <w:r w:rsidR="006472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</w:t>
      </w:r>
      <w:r w:rsidR="00BF49B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6472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2031-2036 гг.</w:t>
      </w:r>
    </w:p>
    <w:p w:rsidR="00BF49B7" w:rsidRPr="000E1A26" w:rsidRDefault="00BF49B7" w:rsidP="00281A24">
      <w:pPr>
        <w:pStyle w:val="a3"/>
        <w:suppressAutoHyphens/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1A26">
        <w:rPr>
          <w:rFonts w:ascii="Arial" w:hAnsi="Arial" w:cs="Arial"/>
          <w:sz w:val="24"/>
          <w:szCs w:val="24"/>
        </w:rPr>
        <w:t>Значения и прогнозируемые тенденци</w:t>
      </w:r>
      <w:r w:rsidR="00E45685">
        <w:rPr>
          <w:rFonts w:ascii="Arial" w:hAnsi="Arial" w:cs="Arial"/>
          <w:sz w:val="24"/>
          <w:szCs w:val="24"/>
        </w:rPr>
        <w:t xml:space="preserve">и плана мероприятия и целевых показателей по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реализации </w:t>
      </w:r>
      <w:r w:rsidRPr="000E1A26">
        <w:rPr>
          <w:rFonts w:ascii="Arial" w:hAnsi="Arial" w:cs="Arial"/>
          <w:sz w:val="24"/>
          <w:szCs w:val="24"/>
        </w:rPr>
        <w:t>Стратегии</w:t>
      </w:r>
      <w:r w:rsidR="00A8442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отражаются с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детализацией</w:t>
      </w:r>
      <w:r w:rsidR="00E45685">
        <w:rPr>
          <w:rFonts w:ascii="Arial" w:hAnsi="Arial" w:cs="Arial"/>
          <w:sz w:val="24"/>
          <w:szCs w:val="24"/>
        </w:rPr>
        <w:t xml:space="preserve"> в Приложениях </w:t>
      </w:r>
      <w:r w:rsidR="00713772">
        <w:rPr>
          <w:rFonts w:ascii="Arial" w:hAnsi="Arial" w:cs="Arial"/>
          <w:sz w:val="24"/>
          <w:szCs w:val="24"/>
        </w:rPr>
        <w:t>№ 5</w:t>
      </w:r>
      <w:r w:rsidR="00E45685">
        <w:rPr>
          <w:rFonts w:ascii="Arial" w:hAnsi="Arial" w:cs="Arial"/>
          <w:sz w:val="24"/>
          <w:szCs w:val="24"/>
        </w:rPr>
        <w:t xml:space="preserve"> и</w:t>
      </w:r>
      <w:r w:rsidR="00713772">
        <w:rPr>
          <w:rFonts w:ascii="Arial" w:hAnsi="Arial" w:cs="Arial"/>
          <w:sz w:val="24"/>
          <w:szCs w:val="24"/>
        </w:rPr>
        <w:t xml:space="preserve"> № 6</w:t>
      </w:r>
      <w:bookmarkStart w:id="0" w:name="_GoBack"/>
      <w:bookmarkEnd w:id="0"/>
      <w:r w:rsidRPr="000E1A26">
        <w:rPr>
          <w:rFonts w:ascii="Arial" w:hAnsi="Arial" w:cs="Arial"/>
          <w:sz w:val="24"/>
          <w:szCs w:val="24"/>
        </w:rPr>
        <w:t xml:space="preserve"> к Стратегии.</w:t>
      </w:r>
    </w:p>
    <w:p w:rsidR="00BF49B7" w:rsidRPr="000E1A26" w:rsidRDefault="00BF49B7" w:rsidP="00281A24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  <w:lang w:eastAsia="ru-RU" w:bidi="en-US"/>
        </w:rPr>
      </w:pP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C2689F">
        <w:rPr>
          <w:rFonts w:ascii="Arial" w:hAnsi="Arial" w:cs="Arial"/>
          <w:sz w:val="24"/>
          <w:szCs w:val="24"/>
          <w:lang w:eastAsia="ru-RU" w:bidi="en-US"/>
        </w:rPr>
        <w:t>Эффективность</w:t>
      </w:r>
      <w:r w:rsidR="00C2689F" w:rsidRPr="000E1A26">
        <w:rPr>
          <w:rFonts w:ascii="Arial" w:hAnsi="Arial" w:cs="Arial"/>
          <w:sz w:val="24"/>
          <w:szCs w:val="24"/>
          <w:lang w:eastAsia="ru-RU" w:bidi="en-US"/>
        </w:rPr>
        <w:t xml:space="preserve"> </w:t>
      </w:r>
      <w:r w:rsidR="00A15143">
        <w:rPr>
          <w:rFonts w:ascii="Arial" w:hAnsi="Arial" w:cs="Arial"/>
          <w:sz w:val="24"/>
          <w:szCs w:val="24"/>
        </w:rPr>
        <w:t>реализующегося</w:t>
      </w:r>
      <w:r w:rsidR="00C2689F" w:rsidRPr="000E1A26">
        <w:rPr>
          <w:rFonts w:ascii="Arial" w:hAnsi="Arial" w:cs="Arial"/>
          <w:sz w:val="24"/>
          <w:szCs w:val="24"/>
        </w:rPr>
        <w:t xml:space="preserve"> комплекса мер</w:t>
      </w:r>
      <w:r w:rsidR="00C2689F" w:rsidRPr="000E1A26">
        <w:rPr>
          <w:rFonts w:ascii="Arial" w:hAnsi="Arial" w:cs="Arial"/>
          <w:sz w:val="24"/>
          <w:szCs w:val="24"/>
          <w:lang w:eastAsia="ru-RU" w:bidi="en-US"/>
        </w:rPr>
        <w:t xml:space="preserve"> </w:t>
      </w:r>
      <w:r w:rsidR="00BC49B2">
        <w:rPr>
          <w:rFonts w:ascii="Arial" w:hAnsi="Arial" w:cs="Arial"/>
          <w:sz w:val="24"/>
          <w:szCs w:val="24"/>
          <w:lang w:eastAsia="ru-RU" w:bidi="en-US"/>
        </w:rPr>
        <w:t>плана мероприятий</w:t>
      </w:r>
      <w:r w:rsidR="00C2689F">
        <w:rPr>
          <w:rFonts w:ascii="Arial" w:hAnsi="Arial" w:cs="Arial"/>
          <w:sz w:val="24"/>
          <w:szCs w:val="24"/>
          <w:lang w:eastAsia="ru-RU" w:bidi="en-US"/>
        </w:rPr>
        <w:t xml:space="preserve"> </w:t>
      </w:r>
      <w:r w:rsidR="00C2689F" w:rsidRPr="000E1A26">
        <w:rPr>
          <w:rFonts w:ascii="Arial" w:hAnsi="Arial" w:cs="Arial"/>
          <w:sz w:val="24"/>
          <w:szCs w:val="24"/>
          <w:lang w:eastAsia="ru-RU" w:bidi="en-US"/>
        </w:rPr>
        <w:t>в дей</w:t>
      </w:r>
      <w:r w:rsidR="00C2689F">
        <w:rPr>
          <w:rFonts w:ascii="Arial" w:hAnsi="Arial" w:cs="Arial"/>
          <w:sz w:val="24"/>
          <w:szCs w:val="24"/>
          <w:lang w:eastAsia="ru-RU" w:bidi="en-US"/>
        </w:rPr>
        <w:t xml:space="preserve">ствующих социально-экономических сферах УКМО и </w:t>
      </w:r>
      <w:r w:rsidR="00C2689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целевых показателей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E00C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буде</w:t>
      </w:r>
      <w:r w:rsidR="00C2689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 отража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</w:t>
      </w:r>
      <w:r w:rsidR="00C2689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ь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степень достижения стратегических ориентиров и целей </w:t>
      </w:r>
      <w:r w:rsidR="00C2689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развития в условиях имеющихся ресурсов</w:t>
      </w:r>
      <w:r w:rsidR="002E58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влияния внешних (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внутренних</w:t>
      </w:r>
      <w:r w:rsidR="002E58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факторов </w:t>
      </w:r>
      <w:r w:rsidRPr="000E1A26">
        <w:rPr>
          <w:rFonts w:ascii="Arial" w:hAnsi="Arial" w:cs="Arial"/>
          <w:sz w:val="24"/>
          <w:szCs w:val="24"/>
          <w:lang w:eastAsia="ru-RU" w:bidi="en-US"/>
        </w:rPr>
        <w:t>н</w:t>
      </w:r>
      <w:r w:rsidR="00C2689F">
        <w:rPr>
          <w:rFonts w:ascii="Arial" w:hAnsi="Arial" w:cs="Arial"/>
          <w:sz w:val="24"/>
          <w:szCs w:val="24"/>
          <w:lang w:eastAsia="ru-RU" w:bidi="en-US"/>
        </w:rPr>
        <w:t>а всех этапах реализации Стратегии.</w:t>
      </w:r>
    </w:p>
    <w:p w:rsidR="00BF49B7" w:rsidRPr="000E1A26" w:rsidRDefault="00BF49B7" w:rsidP="00281A24">
      <w:pPr>
        <w:shd w:val="clear" w:color="auto" w:fill="FFFFFF"/>
        <w:spacing w:after="0" w:line="276" w:lineRule="auto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Рассмотрим тенденции изменени</w:t>
      </w:r>
      <w:r w:rsidR="001C03C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й по основным показателям к 2036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году.</w:t>
      </w:r>
    </w:p>
    <w:p w:rsidR="008D4F31" w:rsidRDefault="00BF49B7" w:rsidP="00281A24">
      <w:pPr>
        <w:shd w:val="clear" w:color="auto" w:fill="FFFFFF"/>
        <w:spacing w:after="0" w:line="276" w:lineRule="auto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Численность населения Усть-Кутского района </w:t>
      </w:r>
      <w:r w:rsidR="001C03C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прогнозируется к 2036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году 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37,8</w:t>
      </w:r>
      <w:r w:rsidR="007830B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тыс. чел.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Учитывая </w:t>
      </w:r>
      <w:r w:rsidR="00CD34A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характер 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изменений, </w:t>
      </w:r>
      <w:r w:rsidR="00CD34A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влияющих на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r w:rsidR="000774B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оказатель численности населения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: </w:t>
      </w:r>
      <w:r w:rsidR="00CD34A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миграционный отток, демографическая убыль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притока населения не ожидается</w:t>
      </w:r>
      <w:r w:rsidR="007830B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0D72F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 исключением, в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0D72F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2026-2027 гг. прогнозируется миграционный прирост в 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связи с развитием крупных инвестиционных проектов Группы компаний ООО «Иркутская нефтяная компания», осущ</w:t>
      </w:r>
      <w:r w:rsidR="00E00C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ествляется (в планах до 2026 г.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строительство жилого комплекса площадью 95 тыс. кв. м. (на 1000 квартир) для заселения своих сотрудников с семьями. Планируется прибытие на постоянное место жительс</w:t>
      </w:r>
      <w:r w:rsidR="000D72F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тво в г. Усть-Кут порядка</w:t>
      </w:r>
      <w:r w:rsidR="008D4F3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3 тыс. человек. </w:t>
      </w:r>
    </w:p>
    <w:p w:rsidR="008D4F31" w:rsidRPr="000E1A26" w:rsidRDefault="008D4F31" w:rsidP="00281A24">
      <w:pPr>
        <w:shd w:val="clear" w:color="auto" w:fill="FFFFFF"/>
        <w:spacing w:after="0" w:line="276" w:lineRule="auto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Также, запущен инвестиционный проект в лесной отрасли по Созданию</w:t>
      </w:r>
      <w:r w:rsidRPr="00672A0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лесоперерабатывающего производства в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г. Усть-Куте Иркутской области </w:t>
      </w:r>
      <w:r w:rsidR="00F756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(инициатор ООО "</w:t>
      </w:r>
      <w:proofErr w:type="spellStart"/>
      <w:r w:rsidR="00F756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СтарВуд</w:t>
      </w:r>
      <w:proofErr w:type="spellEnd"/>
      <w:r w:rsidR="00F756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")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рамках которого планируется создание 1100 рабочих мест. Что создаст условия для сохранения внутренних трудовых ресурсов, как и спосо</w:t>
      </w:r>
      <w:r w:rsidR="00F756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бствует сохранению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численности населения УКМО.</w:t>
      </w:r>
    </w:p>
    <w:p w:rsidR="00F7560B" w:rsidRDefault="00F7560B" w:rsidP="00281A24">
      <w:pPr>
        <w:shd w:val="clear" w:color="auto" w:fill="FFFFFF"/>
        <w:spacing w:after="0" w:line="276" w:lineRule="auto"/>
        <w:ind w:firstLine="708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На сегодня, видим значительный демографический спад, по итогам проведенной переписи населения </w:t>
      </w:r>
      <w:r w:rsidR="00B2513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2021 году уточненная численность постоянного населения резко снизилась и составила на начало 2022 года - 43180 человек, что ниже показателя прошлого года на 4099 человек (2021 год – 47279 чел.).</w:t>
      </w:r>
    </w:p>
    <w:p w:rsidR="000850ED" w:rsidRDefault="000850ED" w:rsidP="000850ED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       Основной целью для муниципалитета остается - увеличение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числен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ности населения УКМО за счет стабилизации естественного движения и миграционных процессов, решения важных задач по повышению качества и уровня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предоставляемых социальных услуг населению (в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медицинских услуг), развития экономического потенциала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 счет создания и развития крупных производств (создание новых р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абочих мест)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также увеличения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количества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сопутствующих действующих субъектов малого и среднего предпринимательства (с диверсификацией производств).</w:t>
      </w:r>
    </w:p>
    <w:p w:rsidR="00BF49B7" w:rsidRPr="000E1A26" w:rsidRDefault="000850ED" w:rsidP="000850ED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 xml:space="preserve">       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 </w:t>
      </w:r>
      <w:r w:rsidR="00D92C8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Учитывая 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развитие крупных инвестиционных проектов </w:t>
      </w:r>
      <w:r w:rsidR="00EA2A0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на территории УКМО 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долгосрочной перспективе, </w:t>
      </w:r>
      <w:r w:rsidR="00D92C8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возможно </w:t>
      </w:r>
      <w:r w:rsidR="00EA2A0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увеличение общих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экономичес</w:t>
      </w:r>
      <w:r w:rsidR="00EA2A0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ких показателей</w:t>
      </w:r>
      <w:r w:rsidR="00BF49B7"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</w:p>
    <w:p w:rsidR="00BF49B7" w:rsidRPr="00733FF6" w:rsidRDefault="00BF49B7" w:rsidP="00366DB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BA66B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Тенденции изменений основных </w:t>
      </w:r>
      <w:r w:rsidR="00942EB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экономических</w:t>
      </w:r>
      <w:r w:rsidR="00366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7A1A8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показателей</w:t>
      </w:r>
      <w:r w:rsidR="00EC3BF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9D2E0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r w:rsidR="0047013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 уровню 2021 года</w:t>
      </w:r>
      <w:r w:rsidR="009D2E0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  <w:r w:rsidR="00BA66B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</w:t>
      </w:r>
      <w:r w:rsidR="003717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выручка </w:t>
      </w:r>
      <w:r w:rsidR="00EC3BF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</w:t>
      </w:r>
      <w:r w:rsidR="00D92C8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2036 году</w:t>
      </w:r>
      <w:r w:rsidR="0047013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37178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увеличиться </w:t>
      </w:r>
      <w:r w:rsidR="00942EB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2 раза </w:t>
      </w:r>
      <w:r w:rsidR="007A1A8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составит</w:t>
      </w:r>
      <w:r w:rsidR="00942EB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724,8</w:t>
      </w:r>
      <w:r w:rsidR="007A1A8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млрд. рублей </w:t>
      </w:r>
      <w:r w:rsidRPr="000E1A2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(в структуре объема выручки большая часть по-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прежнему приходиться на добычу полезных ископаемых </w:t>
      </w:r>
      <w:r w:rsidR="00942EB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– порядка </w:t>
      </w:r>
      <w:r w:rsidR="00A2188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80</w:t>
      </w:r>
      <w:r w:rsidR="00EC3BF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процентов); и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ндекс п</w:t>
      </w:r>
      <w:r w:rsidR="00EC3BF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ромышленного производства </w:t>
      </w:r>
      <w:r w:rsidR="005125D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составит 101,7</w:t>
      </w:r>
      <w:r w:rsidR="00747F3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процента</w:t>
      </w:r>
      <w:r w:rsidR="00EC3BF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; 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индекс производства продукции сельского хозяйства </w:t>
      </w:r>
      <w:r w:rsidR="005125D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</w:t>
      </w:r>
      <w:r w:rsidR="00366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5125D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94,4</w:t>
      </w:r>
      <w:r w:rsidR="004C4EA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процент</w:t>
      </w:r>
      <w:r w:rsidR="00EC3BF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 о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бъем инвестиций в расчете н</w:t>
      </w:r>
      <w:r w:rsidR="00366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а одного жителя </w:t>
      </w:r>
      <w:r w:rsidR="009D2E0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составит 0,7</w:t>
      </w:r>
      <w:r w:rsidR="00072E1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366DB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млн. рублей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</w:p>
    <w:p w:rsidR="00BF49B7" w:rsidRPr="00733FF6" w:rsidRDefault="00BF49B7" w:rsidP="00BF49B7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Основные показатели уровня жизни, труда и занятости: среднемесячная заработная плата работников по полному к</w:t>
      </w:r>
      <w:r w:rsidR="008D04B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ругу предп</w:t>
      </w:r>
      <w:r w:rsidR="00802C3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риятий, ориентировочно,</w:t>
      </w:r>
      <w:r w:rsidR="00072E1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8D04B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составит к 2036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году </w:t>
      </w:r>
      <w:r w:rsidR="008D64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167,9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тыс. рублей</w:t>
      </w:r>
      <w:r w:rsidR="00072E1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среднесписочная численность</w:t>
      </w:r>
      <w:r w:rsidR="00072E1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работающих - 23 тыс. человек, уровень безработицы </w:t>
      </w:r>
      <w:r w:rsidR="00F544B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– 0,35</w:t>
      </w: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процент.</w:t>
      </w:r>
    </w:p>
    <w:p w:rsidR="00BF49B7" w:rsidRPr="00733FF6" w:rsidRDefault="006F625C" w:rsidP="00BF49B7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На </w:t>
      </w:r>
      <w:r w:rsidR="00E00C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всех этапах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Стратегии осн</w:t>
      </w:r>
      <w:r w:rsidR="008D64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овной целью является создание условий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F86F2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для устойчивого 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социально-экономического развития района, </w:t>
      </w:r>
      <w:r w:rsidR="00F86F2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включая реализацию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уже имеющихся плано</w:t>
      </w:r>
      <w:r w:rsidR="00E00C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и проектов на муниципальном уровне и </w:t>
      </w:r>
      <w:r w:rsidR="00993E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инвестиционных</w:t>
      </w:r>
      <w:r w:rsidR="00E667A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993E5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проектов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9B060B" w:rsidRDefault="00E00CAA" w:rsidP="00BF49B7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</w:t>
      </w:r>
      <w:r w:rsidR="006F625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амечена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работа по повышению инвестиционной и предпринимательской активности</w:t>
      </w:r>
      <w:r w:rsidR="006F625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 </w:t>
      </w:r>
      <w:r w:rsidR="006F625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еализации</w:t>
      </w:r>
      <w:r w:rsidR="00BF49B7"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запланированных мероприятий по развитию социальной сферы и инфраструктуры района одновременно с развитием экономического потенциала</w:t>
      </w:r>
      <w:r w:rsidR="00FF7A2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ведущих отраслях экономики</w:t>
      </w:r>
      <w:r w:rsidR="009B060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BF49B7" w:rsidRPr="00733FF6" w:rsidRDefault="00BF49B7" w:rsidP="00BF49B7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33FF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Главным результатом реализации Стратегии УКМО является улучшение качества жизни населения, которое предполагает достаточный уровень развития инфраструктуры (промышленной, транспортной, коммунальной и энергетической), социальной сферы (здравоохранения, образования, культуры, молодежной политики, физической культуры и спорта, жилья), диверсификацию экономики и обеспечение ее стабильного роста.</w:t>
      </w:r>
    </w:p>
    <w:p w:rsidR="00BF49B7" w:rsidRPr="00733FF6" w:rsidRDefault="00BF49B7" w:rsidP="00BF49B7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Намеченные к реализации мероприятия на начальном этапе Стратегии включают следующие действия: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выполнение «майских» Указов Президента Российской Федерации по повышению размера реальной заработной платы отдельных категорий работников бюджетной сферы и уровня доступности дошкольного образования;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работа по доведению заработной платы работникам бюджетной сферы до минимального размера оплаты труда с учетом районного коэффициента и «северной» надбавки;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продолжение совместной работы органов местного самоуправления с контролирующими органами по повышению доходов;</w:t>
      </w:r>
    </w:p>
    <w:p w:rsidR="00BF49B7" w:rsidRPr="00733FF6" w:rsidRDefault="0037511E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рациональное расходование бюджетных средств</w:t>
      </w:r>
      <w:r w:rsidR="00BF49B7" w:rsidRPr="00733FF6">
        <w:rPr>
          <w:rFonts w:ascii="Arial" w:hAnsi="Arial" w:cs="Arial"/>
          <w:sz w:val="24"/>
          <w:szCs w:val="24"/>
        </w:rPr>
        <w:t xml:space="preserve"> на содержание и обеспечение деятельности органов местного самоуправления, а также бюджетной сети;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усиление внутреннего муниципального контроля с целью сокращения неэффективных расходов, изыскания внутренних резервов финансирования за счет перераспределения направлений расходования на приоритетные цели;</w:t>
      </w:r>
    </w:p>
    <w:p w:rsidR="00BF49B7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обеспечение сбалансированности и устойчивости местных бюджетов;</w:t>
      </w:r>
    </w:p>
    <w:p w:rsidR="000C0AD8" w:rsidRDefault="000C0AD8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улучшение материально-технической базы учреждений (организаций) </w:t>
      </w:r>
      <w:r>
        <w:rPr>
          <w:rFonts w:ascii="Arial" w:hAnsi="Arial" w:cs="Arial"/>
          <w:sz w:val="24"/>
          <w:szCs w:val="24"/>
        </w:rPr>
        <w:lastRenderedPageBreak/>
        <w:t>социальной сферы;</w:t>
      </w:r>
    </w:p>
    <w:p w:rsidR="000446F1" w:rsidRPr="00733FF6" w:rsidRDefault="000446F1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эффективная работа по реализации мероприятий в рамках муниципальных программ;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работа над инвестиционной привлекательностью района, включая работу по внедрению лучших муниципальных практик;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активизация работы по заключению соглашений о социально-экономическом сотрудничестве;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 xml:space="preserve">содействие развитию </w:t>
      </w:r>
      <w:proofErr w:type="gramStart"/>
      <w:r w:rsidR="0037511E">
        <w:rPr>
          <w:rFonts w:ascii="Arial" w:hAnsi="Arial" w:cs="Arial"/>
          <w:sz w:val="24"/>
          <w:szCs w:val="24"/>
        </w:rPr>
        <w:t>МСП</w:t>
      </w:r>
      <w:r w:rsidRPr="00733FF6">
        <w:rPr>
          <w:rFonts w:ascii="Arial" w:hAnsi="Arial" w:cs="Arial"/>
          <w:sz w:val="24"/>
          <w:szCs w:val="24"/>
        </w:rPr>
        <w:t xml:space="preserve"> </w:t>
      </w:r>
      <w:r w:rsidR="00952AF1">
        <w:rPr>
          <w:rFonts w:ascii="Arial" w:hAnsi="Arial" w:cs="Arial"/>
          <w:sz w:val="24"/>
          <w:szCs w:val="24"/>
        </w:rPr>
        <w:t xml:space="preserve"> и</w:t>
      </w:r>
      <w:proofErr w:type="gramEnd"/>
      <w:r w:rsidR="00952AF1">
        <w:rPr>
          <w:rFonts w:ascii="Arial" w:hAnsi="Arial" w:cs="Arial"/>
          <w:sz w:val="24"/>
          <w:szCs w:val="24"/>
        </w:rPr>
        <w:t xml:space="preserve"> СОНКО </w:t>
      </w:r>
      <w:r w:rsidRPr="00733FF6">
        <w:rPr>
          <w:rFonts w:ascii="Arial" w:hAnsi="Arial" w:cs="Arial"/>
          <w:sz w:val="24"/>
          <w:szCs w:val="24"/>
        </w:rPr>
        <w:t>УКМО;</w:t>
      </w:r>
    </w:p>
    <w:p w:rsidR="00BF49B7" w:rsidRPr="00733FF6" w:rsidRDefault="00BF49B7" w:rsidP="00BF49B7">
      <w:pPr>
        <w:pStyle w:val="9"/>
        <w:numPr>
          <w:ilvl w:val="0"/>
          <w:numId w:val="2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3FF6">
        <w:rPr>
          <w:rFonts w:ascii="Arial" w:hAnsi="Arial" w:cs="Arial"/>
          <w:sz w:val="24"/>
          <w:szCs w:val="24"/>
        </w:rPr>
        <w:t>создание условий для развития сельскохозяйственного производства.</w:t>
      </w:r>
    </w:p>
    <w:p w:rsidR="00BF49B7" w:rsidRPr="00733FF6" w:rsidRDefault="00316BA3" w:rsidP="00BF49B7">
      <w:pPr>
        <w:pStyle w:val="9"/>
        <w:tabs>
          <w:tab w:val="left" w:pos="993"/>
        </w:tabs>
        <w:spacing w:line="276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части реформирования</w:t>
      </w:r>
      <w:r w:rsidR="00BF49B7" w:rsidRPr="00733FF6">
        <w:rPr>
          <w:rFonts w:ascii="Arial" w:hAnsi="Arial" w:cs="Arial"/>
          <w:b/>
          <w:sz w:val="24"/>
          <w:szCs w:val="24"/>
        </w:rPr>
        <w:t xml:space="preserve"> органов местного самоуправления УКМО</w:t>
      </w:r>
    </w:p>
    <w:p w:rsidR="004C7825" w:rsidRDefault="00BF49B7" w:rsidP="006A235F">
      <w:pPr>
        <w:pStyle w:val="9"/>
        <w:tabs>
          <w:tab w:val="left" w:pos="993"/>
        </w:tabs>
        <w:spacing w:line="276" w:lineRule="auto"/>
        <w:ind w:firstLine="720"/>
        <w:jc w:val="both"/>
      </w:pPr>
      <w:r w:rsidRPr="00733FF6">
        <w:rPr>
          <w:rFonts w:ascii="Arial" w:hAnsi="Arial" w:cs="Arial"/>
          <w:sz w:val="24"/>
          <w:szCs w:val="24"/>
        </w:rPr>
        <w:t>Продолжение проработки вопроса по объединению городской и районной администрации путем передачи полномочий с городского уровня на районный.</w:t>
      </w:r>
    </w:p>
    <w:sectPr w:rsidR="004C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A70"/>
    <w:multiLevelType w:val="hybridMultilevel"/>
    <w:tmpl w:val="77708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11798"/>
    <w:multiLevelType w:val="hybridMultilevel"/>
    <w:tmpl w:val="8CFAD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C09A5"/>
    <w:multiLevelType w:val="hybridMultilevel"/>
    <w:tmpl w:val="61243C30"/>
    <w:lvl w:ilvl="0" w:tplc="59CC5F20">
      <w:start w:val="1"/>
      <w:numFmt w:val="decimal"/>
      <w:lvlText w:val="%1.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6B0E66"/>
    <w:multiLevelType w:val="hybridMultilevel"/>
    <w:tmpl w:val="A2AE77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BA"/>
    <w:rsid w:val="00011D28"/>
    <w:rsid w:val="000446F1"/>
    <w:rsid w:val="00057296"/>
    <w:rsid w:val="000722C7"/>
    <w:rsid w:val="00072E16"/>
    <w:rsid w:val="000774BF"/>
    <w:rsid w:val="000850ED"/>
    <w:rsid w:val="000C0AD8"/>
    <w:rsid w:val="000D72F9"/>
    <w:rsid w:val="00104CC7"/>
    <w:rsid w:val="00186521"/>
    <w:rsid w:val="001C03C9"/>
    <w:rsid w:val="001F3644"/>
    <w:rsid w:val="00281A24"/>
    <w:rsid w:val="00283E05"/>
    <w:rsid w:val="002C1E0D"/>
    <w:rsid w:val="002E583C"/>
    <w:rsid w:val="002F4E53"/>
    <w:rsid w:val="00316BA3"/>
    <w:rsid w:val="00366DBB"/>
    <w:rsid w:val="00371787"/>
    <w:rsid w:val="0037511E"/>
    <w:rsid w:val="003A5603"/>
    <w:rsid w:val="0047013A"/>
    <w:rsid w:val="004C4EA6"/>
    <w:rsid w:val="004C7825"/>
    <w:rsid w:val="00511C36"/>
    <w:rsid w:val="005125D3"/>
    <w:rsid w:val="00523BBE"/>
    <w:rsid w:val="006277BA"/>
    <w:rsid w:val="00633FDD"/>
    <w:rsid w:val="006411DE"/>
    <w:rsid w:val="0064720B"/>
    <w:rsid w:val="00691A4F"/>
    <w:rsid w:val="006A235F"/>
    <w:rsid w:val="006A38DE"/>
    <w:rsid w:val="006E5116"/>
    <w:rsid w:val="006F24E8"/>
    <w:rsid w:val="006F625C"/>
    <w:rsid w:val="00713772"/>
    <w:rsid w:val="00747F3F"/>
    <w:rsid w:val="00772165"/>
    <w:rsid w:val="00773CAB"/>
    <w:rsid w:val="007830B9"/>
    <w:rsid w:val="00793CAF"/>
    <w:rsid w:val="007A1A89"/>
    <w:rsid w:val="00802C36"/>
    <w:rsid w:val="00824B2D"/>
    <w:rsid w:val="008331A9"/>
    <w:rsid w:val="008D04B8"/>
    <w:rsid w:val="008D4F31"/>
    <w:rsid w:val="008D6453"/>
    <w:rsid w:val="00942EBE"/>
    <w:rsid w:val="00952AF1"/>
    <w:rsid w:val="00993E5A"/>
    <w:rsid w:val="009A2803"/>
    <w:rsid w:val="009B060B"/>
    <w:rsid w:val="009D2E0A"/>
    <w:rsid w:val="00A15143"/>
    <w:rsid w:val="00A2188D"/>
    <w:rsid w:val="00A6025F"/>
    <w:rsid w:val="00A84421"/>
    <w:rsid w:val="00AA2158"/>
    <w:rsid w:val="00B25134"/>
    <w:rsid w:val="00BA66B2"/>
    <w:rsid w:val="00BC49B2"/>
    <w:rsid w:val="00BD33A6"/>
    <w:rsid w:val="00BF49B7"/>
    <w:rsid w:val="00C2689F"/>
    <w:rsid w:val="00CB45BF"/>
    <w:rsid w:val="00CD34A2"/>
    <w:rsid w:val="00CE36B4"/>
    <w:rsid w:val="00D11A95"/>
    <w:rsid w:val="00D92C80"/>
    <w:rsid w:val="00E00CAA"/>
    <w:rsid w:val="00E139B4"/>
    <w:rsid w:val="00E45685"/>
    <w:rsid w:val="00E667A6"/>
    <w:rsid w:val="00EA2A04"/>
    <w:rsid w:val="00EC3BF3"/>
    <w:rsid w:val="00F544B0"/>
    <w:rsid w:val="00F7207E"/>
    <w:rsid w:val="00F7560B"/>
    <w:rsid w:val="00F86F2E"/>
    <w:rsid w:val="00FB7AFB"/>
    <w:rsid w:val="00FD1D13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5E8F"/>
  <w15:chartTrackingRefBased/>
  <w15:docId w15:val="{2CF40BD6-64BC-4EB5-9AF6-CAD06B6B7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9B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49B7"/>
    <w:pPr>
      <w:ind w:left="720"/>
      <w:contextualSpacing/>
    </w:pPr>
  </w:style>
  <w:style w:type="character" w:customStyle="1" w:styleId="a5">
    <w:name w:val="Основной текст_"/>
    <w:link w:val="9"/>
    <w:locked/>
    <w:rsid w:val="00BF49B7"/>
    <w:rPr>
      <w:sz w:val="23"/>
      <w:shd w:val="clear" w:color="auto" w:fill="FFFFFF"/>
    </w:rPr>
  </w:style>
  <w:style w:type="paragraph" w:customStyle="1" w:styleId="9">
    <w:name w:val="Основной текст9"/>
    <w:basedOn w:val="a"/>
    <w:link w:val="a5"/>
    <w:rsid w:val="00BF49B7"/>
    <w:pPr>
      <w:widowControl w:val="0"/>
      <w:shd w:val="clear" w:color="auto" w:fill="FFFFFF"/>
      <w:spacing w:after="0" w:line="269" w:lineRule="exact"/>
      <w:ind w:hanging="120"/>
      <w:jc w:val="center"/>
    </w:pPr>
    <w:rPr>
      <w:rFonts w:eastAsiaTheme="minorHAnsi"/>
      <w:sz w:val="23"/>
    </w:rPr>
  </w:style>
  <w:style w:type="character" w:customStyle="1" w:styleId="a4">
    <w:name w:val="Абзац списка Знак"/>
    <w:link w:val="a3"/>
    <w:uiPriority w:val="34"/>
    <w:locked/>
    <w:rsid w:val="00BF49B7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9A2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280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Тимирбулатова Н.А.</dc:creator>
  <cp:keywords/>
  <dc:description/>
  <cp:lastModifiedBy>Ершова Нина Анатольевна</cp:lastModifiedBy>
  <cp:revision>118</cp:revision>
  <cp:lastPrinted>2022-06-08T02:45:00Z</cp:lastPrinted>
  <dcterms:created xsi:type="dcterms:W3CDTF">2022-06-06T07:11:00Z</dcterms:created>
  <dcterms:modified xsi:type="dcterms:W3CDTF">2023-06-08T02:47:00Z</dcterms:modified>
</cp:coreProperties>
</file>